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52" w:rsidRDefault="00F36252" w:rsidP="00F36252">
      <w:pPr>
        <w:jc w:val="both"/>
        <w:rPr>
          <w:rFonts w:asciiTheme="minorHAnsi" w:hAnsiTheme="minorHAnsi" w:cstheme="minorHAnsi"/>
          <w:b/>
          <w:bCs/>
        </w:rPr>
      </w:pPr>
    </w:p>
    <w:p w:rsidR="00F36252" w:rsidRPr="00F36252" w:rsidRDefault="00F36252" w:rsidP="00F36252">
      <w:pPr>
        <w:pStyle w:val="Sarakstarindkopa"/>
        <w:ind w:left="993"/>
        <w:jc w:val="both"/>
        <w:rPr>
          <w:rFonts w:asciiTheme="minorHAnsi" w:hAnsiTheme="minorHAnsi" w:cstheme="minorHAnsi"/>
          <w:lang w:eastAsia="zh-CN"/>
        </w:rPr>
      </w:pPr>
    </w:p>
    <w:p w:rsidR="00F36252" w:rsidRPr="00F36252" w:rsidRDefault="00F36252" w:rsidP="00F36252">
      <w:pPr>
        <w:pStyle w:val="Sarakstarindkopa"/>
        <w:ind w:left="993"/>
        <w:jc w:val="both"/>
        <w:rPr>
          <w:rFonts w:asciiTheme="minorHAnsi" w:hAnsiTheme="minorHAnsi" w:cstheme="minorHAnsi"/>
          <w:lang w:eastAsia="zh-CN"/>
        </w:rPr>
      </w:pPr>
    </w:p>
    <w:p w:rsidR="00F36252" w:rsidRPr="00FF573A" w:rsidRDefault="00F36252" w:rsidP="00F36252">
      <w:pPr>
        <w:jc w:val="both"/>
        <w:rPr>
          <w:rFonts w:asciiTheme="minorHAnsi" w:hAnsiTheme="minorHAnsi" w:cstheme="minorHAnsi"/>
          <w:lang w:val="de-DE"/>
        </w:rPr>
      </w:pPr>
    </w:p>
    <w:p w:rsidR="00F36252" w:rsidRPr="00FF573A" w:rsidRDefault="00F36252" w:rsidP="00F36252">
      <w:pPr>
        <w:pStyle w:val="Galvene"/>
        <w:jc w:val="center"/>
        <w:rPr>
          <w:rFonts w:asciiTheme="minorHAnsi" w:hAnsiTheme="minorHAnsi" w:cstheme="minorHAnsi"/>
        </w:rPr>
      </w:pPr>
      <w:r w:rsidRPr="00FF573A">
        <w:rPr>
          <w:rFonts w:asciiTheme="minorHAnsi" w:hAnsiTheme="minorHAnsi" w:cstheme="minorHAnsi"/>
          <w:noProof/>
        </w:rPr>
        <w:drawing>
          <wp:inline distT="0" distB="0" distL="0" distR="0" wp14:anchorId="41A09860" wp14:editId="49026414">
            <wp:extent cx="695325" cy="81915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solidFill>
                      <a:srgbClr val="FFFFFF">
                        <a:alpha val="0"/>
                      </a:srgbClr>
                    </a:solidFill>
                    <a:ln>
                      <a:noFill/>
                    </a:ln>
                  </pic:spPr>
                </pic:pic>
              </a:graphicData>
            </a:graphic>
          </wp:inline>
        </w:drawing>
      </w:r>
    </w:p>
    <w:p w:rsidR="00F36252" w:rsidRPr="00FF573A" w:rsidRDefault="00F36252" w:rsidP="00F36252">
      <w:pPr>
        <w:pStyle w:val="Galvene"/>
        <w:jc w:val="center"/>
        <w:rPr>
          <w:rFonts w:asciiTheme="minorHAnsi" w:hAnsiTheme="minorHAnsi" w:cstheme="minorHAnsi"/>
          <w:caps/>
        </w:rPr>
      </w:pPr>
      <w:r w:rsidRPr="00FF573A">
        <w:rPr>
          <w:rFonts w:asciiTheme="minorHAnsi" w:hAnsiTheme="minorHAnsi" w:cstheme="minorHAnsi"/>
        </w:rPr>
        <w:t>LATVIJAS REPUBLIKA</w:t>
      </w:r>
    </w:p>
    <w:p w:rsidR="00F36252" w:rsidRPr="00FF573A" w:rsidRDefault="00F36252" w:rsidP="00F36252">
      <w:pPr>
        <w:pStyle w:val="Galvene"/>
        <w:jc w:val="center"/>
        <w:rPr>
          <w:rFonts w:asciiTheme="minorHAnsi" w:hAnsiTheme="minorHAnsi" w:cstheme="minorHAnsi"/>
          <w:caps/>
        </w:rPr>
      </w:pPr>
      <w:r w:rsidRPr="00FF573A">
        <w:rPr>
          <w:rFonts w:asciiTheme="minorHAnsi" w:hAnsiTheme="minorHAnsi" w:cstheme="minorHAnsi"/>
          <w:caps/>
        </w:rPr>
        <w:t xml:space="preserve"> Nīcas NOVADA DOME</w:t>
      </w:r>
    </w:p>
    <w:p w:rsidR="00F36252" w:rsidRPr="00FF573A" w:rsidRDefault="00F36252" w:rsidP="00F36252">
      <w:pPr>
        <w:pStyle w:val="Galvene"/>
        <w:jc w:val="center"/>
        <w:rPr>
          <w:rFonts w:asciiTheme="minorHAnsi" w:hAnsiTheme="minorHAnsi" w:cstheme="minorHAnsi"/>
          <w:caps/>
        </w:rPr>
      </w:pPr>
      <w:r w:rsidRPr="00FF573A">
        <w:rPr>
          <w:rFonts w:asciiTheme="minorHAnsi" w:hAnsiTheme="minorHAnsi" w:cstheme="minorHAnsi"/>
          <w:caps/>
        </w:rPr>
        <w:t>IEPIRKUMU   KOMISIJA</w:t>
      </w:r>
    </w:p>
    <w:p w:rsidR="00F36252" w:rsidRPr="00FF573A" w:rsidRDefault="00F36252" w:rsidP="00F36252">
      <w:pPr>
        <w:pStyle w:val="Galvene"/>
        <w:pBdr>
          <w:top w:val="single" w:sz="8" w:space="1" w:color="000000"/>
        </w:pBdr>
        <w:jc w:val="center"/>
        <w:rPr>
          <w:rFonts w:asciiTheme="minorHAnsi" w:hAnsiTheme="minorHAnsi" w:cstheme="minorHAnsi"/>
        </w:rPr>
      </w:pPr>
      <w:proofErr w:type="spellStart"/>
      <w:r w:rsidRPr="00FF573A">
        <w:rPr>
          <w:rFonts w:asciiTheme="minorHAnsi" w:hAnsiTheme="minorHAnsi" w:cstheme="minorHAnsi"/>
        </w:rPr>
        <w:t>Reģ</w:t>
      </w:r>
      <w:proofErr w:type="spellEnd"/>
      <w:r w:rsidRPr="00FF573A">
        <w:rPr>
          <w:rFonts w:asciiTheme="minorHAnsi" w:hAnsiTheme="minorHAnsi" w:cstheme="minorHAnsi"/>
        </w:rPr>
        <w:t>. Nr.</w:t>
      </w:r>
      <w:r w:rsidRPr="00FF573A">
        <w:rPr>
          <w:rFonts w:asciiTheme="minorHAnsi" w:hAnsiTheme="minorHAnsi" w:cstheme="minorHAnsi"/>
          <w:caps/>
        </w:rPr>
        <w:t xml:space="preserve"> </w:t>
      </w:r>
      <w:r w:rsidRPr="00FF573A">
        <w:rPr>
          <w:rFonts w:asciiTheme="minorHAnsi" w:hAnsiTheme="minorHAnsi" w:cstheme="minorHAnsi"/>
        </w:rPr>
        <w:t>90000031531,  Bārtas iela 6, Nīca, Nīcas pagasts, Nīcas novads, LV-3473</w:t>
      </w:r>
    </w:p>
    <w:p w:rsidR="00F36252" w:rsidRPr="00FF573A" w:rsidRDefault="00F36252" w:rsidP="00F36252">
      <w:pPr>
        <w:jc w:val="center"/>
        <w:rPr>
          <w:rFonts w:asciiTheme="minorHAnsi" w:hAnsiTheme="minorHAnsi" w:cstheme="minorHAnsi"/>
        </w:rPr>
      </w:pPr>
      <w:r w:rsidRPr="00FF573A">
        <w:rPr>
          <w:rFonts w:asciiTheme="minorHAnsi" w:hAnsiTheme="minorHAnsi" w:cstheme="minorHAnsi"/>
        </w:rPr>
        <w:t xml:space="preserve">tālrunis 63452260, </w:t>
      </w:r>
      <w:proofErr w:type="spellStart"/>
      <w:r w:rsidRPr="00FF573A">
        <w:rPr>
          <w:rFonts w:asciiTheme="minorHAnsi" w:hAnsiTheme="minorHAnsi" w:cstheme="minorHAnsi"/>
        </w:rPr>
        <w:t>m.t</w:t>
      </w:r>
      <w:proofErr w:type="spellEnd"/>
      <w:r w:rsidRPr="00FF573A">
        <w:rPr>
          <w:rFonts w:asciiTheme="minorHAnsi" w:hAnsiTheme="minorHAnsi" w:cstheme="minorHAnsi"/>
        </w:rPr>
        <w:t xml:space="preserve">. 25449086, e-pasts:  </w:t>
      </w:r>
      <w:smartTag w:uri="urn:schemas-microsoft-com:office:smarttags" w:element="PersonName">
        <w:r w:rsidRPr="00FF573A">
          <w:rPr>
            <w:rFonts w:asciiTheme="minorHAnsi" w:hAnsiTheme="minorHAnsi" w:cstheme="minorHAnsi"/>
          </w:rPr>
          <w:t>iepirkumi@nica.lv</w:t>
        </w:r>
      </w:smartTag>
    </w:p>
    <w:p w:rsidR="00F36252" w:rsidRPr="00FF573A" w:rsidRDefault="00F36252" w:rsidP="00F36252">
      <w:pPr>
        <w:jc w:val="both"/>
        <w:rPr>
          <w:rFonts w:asciiTheme="minorHAnsi" w:hAnsiTheme="minorHAnsi" w:cstheme="minorHAnsi"/>
          <w:lang w:val="de-DE"/>
        </w:rPr>
      </w:pPr>
    </w:p>
    <w:p w:rsidR="00F36252" w:rsidRDefault="00F36252" w:rsidP="00F36252">
      <w:pPr>
        <w:jc w:val="both"/>
        <w:rPr>
          <w:rFonts w:asciiTheme="minorHAnsi" w:hAnsiTheme="minorHAnsi" w:cstheme="minorHAnsi"/>
          <w:lang w:val="de-DE"/>
        </w:rPr>
      </w:pPr>
    </w:p>
    <w:p w:rsidR="00F36252" w:rsidRDefault="00F36252" w:rsidP="00F36252">
      <w:pPr>
        <w:jc w:val="both"/>
        <w:rPr>
          <w:rFonts w:asciiTheme="minorHAnsi" w:hAnsiTheme="minorHAnsi" w:cstheme="minorHAnsi"/>
          <w:lang w:val="de-DE"/>
        </w:rPr>
      </w:pPr>
    </w:p>
    <w:p w:rsidR="00F36252" w:rsidRPr="00FF573A" w:rsidRDefault="00F36252" w:rsidP="00F36252">
      <w:pPr>
        <w:jc w:val="both"/>
        <w:rPr>
          <w:rFonts w:asciiTheme="minorHAnsi" w:hAnsiTheme="minorHAnsi" w:cstheme="minorHAnsi"/>
          <w:lang w:val="de-DE"/>
        </w:rPr>
      </w:pPr>
    </w:p>
    <w:p w:rsidR="00F36252" w:rsidRPr="005F4D6F" w:rsidRDefault="00F36252" w:rsidP="00F36252">
      <w:pPr>
        <w:jc w:val="both"/>
        <w:rPr>
          <w:rFonts w:asciiTheme="minorHAnsi" w:hAnsiTheme="minorHAnsi" w:cstheme="minorHAnsi"/>
          <w:b/>
        </w:rPr>
      </w:pPr>
      <w:r w:rsidRPr="005F4D6F">
        <w:rPr>
          <w:rFonts w:asciiTheme="minorHAnsi" w:hAnsiTheme="minorHAnsi" w:cstheme="minorHAnsi"/>
          <w:b/>
        </w:rPr>
        <w:t xml:space="preserve">2021. gada </w:t>
      </w:r>
      <w:r>
        <w:rPr>
          <w:rFonts w:asciiTheme="minorHAnsi" w:hAnsiTheme="minorHAnsi" w:cstheme="minorHAnsi"/>
          <w:b/>
        </w:rPr>
        <w:t>1.jūnijs</w:t>
      </w:r>
    </w:p>
    <w:p w:rsidR="00F36252" w:rsidRPr="005F4D6F" w:rsidRDefault="00F36252" w:rsidP="00F36252">
      <w:pPr>
        <w:jc w:val="both"/>
        <w:rPr>
          <w:rFonts w:asciiTheme="minorHAnsi" w:hAnsiTheme="minorHAnsi" w:cstheme="minorHAnsi"/>
          <w:b/>
        </w:rPr>
      </w:pPr>
    </w:p>
    <w:p w:rsidR="00F36252" w:rsidRPr="005F4D6F" w:rsidRDefault="00F36252" w:rsidP="00F36252">
      <w:pPr>
        <w:ind w:firstLine="720"/>
        <w:jc w:val="both"/>
        <w:rPr>
          <w:rFonts w:asciiTheme="minorHAnsi" w:hAnsiTheme="minorHAnsi" w:cstheme="minorHAnsi"/>
          <w:b/>
        </w:rPr>
      </w:pPr>
      <w:r w:rsidRPr="005F4D6F">
        <w:rPr>
          <w:rFonts w:asciiTheme="minorHAnsi" w:hAnsiTheme="minorHAnsi" w:cstheme="minorHAnsi"/>
          <w:b/>
        </w:rPr>
        <w:t xml:space="preserve"> Iepirkumu komisija sniedz</w:t>
      </w:r>
      <w:r>
        <w:rPr>
          <w:rFonts w:asciiTheme="minorHAnsi" w:hAnsiTheme="minorHAnsi" w:cstheme="minorHAnsi"/>
          <w:b/>
        </w:rPr>
        <w:t xml:space="preserve"> atbildes</w:t>
      </w:r>
      <w:r w:rsidRPr="005F4D6F">
        <w:rPr>
          <w:rFonts w:asciiTheme="minorHAnsi" w:hAnsiTheme="minorHAnsi" w:cstheme="minorHAnsi"/>
          <w:b/>
        </w:rPr>
        <w:t xml:space="preserve"> par iepirkumu identifikācijas Nr. NND/2021/14 “Nīcas sporta laukuma būvniecība”</w:t>
      </w:r>
    </w:p>
    <w:p w:rsidR="00F36252" w:rsidRDefault="00F36252" w:rsidP="00F36252">
      <w:pPr>
        <w:pStyle w:val="Sarakstarindkopa"/>
        <w:ind w:left="993"/>
        <w:jc w:val="both"/>
        <w:rPr>
          <w:rFonts w:asciiTheme="minorHAnsi" w:hAnsiTheme="minorHAnsi" w:cstheme="minorHAnsi"/>
          <w:lang w:eastAsia="zh-CN"/>
        </w:rPr>
      </w:pPr>
    </w:p>
    <w:p w:rsidR="00D416EA" w:rsidRPr="00D416EA" w:rsidRDefault="00D416EA" w:rsidP="00D416EA">
      <w:pPr>
        <w:pStyle w:val="Sarakstarindkopa"/>
        <w:numPr>
          <w:ilvl w:val="0"/>
          <w:numId w:val="1"/>
        </w:numPr>
        <w:ind w:left="0" w:firstLine="993"/>
        <w:jc w:val="both"/>
        <w:rPr>
          <w:rFonts w:asciiTheme="minorHAnsi" w:hAnsiTheme="minorHAnsi" w:cstheme="minorHAnsi"/>
          <w:lang w:eastAsia="zh-CN"/>
        </w:rPr>
      </w:pPr>
      <w:r w:rsidRPr="00D416EA">
        <w:rPr>
          <w:rFonts w:asciiTheme="minorHAnsi" w:hAnsiTheme="minorHAnsi" w:cstheme="minorHAnsi"/>
          <w:b/>
          <w:bCs/>
        </w:rPr>
        <w:t xml:space="preserve">Jautājums: </w:t>
      </w:r>
      <w:r w:rsidRPr="00D416EA">
        <w:rPr>
          <w:rFonts w:asciiTheme="minorHAnsi" w:hAnsiTheme="minorHAnsi" w:cstheme="minorHAnsi"/>
        </w:rPr>
        <w:t xml:space="preserve"> Vai LKT sadaļas 1.kārtas būvdarbu apjomos pozīcijas Nr.1 (tranšeju rakšana) un Nr.2 (smilts pamatnes ierīkošana) attiecas arī uz drenāžas cauruļu izbūvi, vai tikai uz lietus kanalizācijas sistēmas izbūvi?</w:t>
      </w:r>
    </w:p>
    <w:p w:rsidR="00D416EA" w:rsidRPr="00D416EA" w:rsidRDefault="00D416EA" w:rsidP="00D416EA">
      <w:pPr>
        <w:ind w:firstLine="720"/>
        <w:jc w:val="both"/>
        <w:rPr>
          <w:rFonts w:asciiTheme="minorHAnsi" w:hAnsiTheme="minorHAnsi" w:cstheme="minorHAnsi"/>
        </w:rPr>
      </w:pPr>
    </w:p>
    <w:p w:rsidR="00D416EA" w:rsidRPr="00D416EA" w:rsidRDefault="00D416EA" w:rsidP="00D416EA">
      <w:pPr>
        <w:suppressAutoHyphens/>
        <w:ind w:right="49" w:firstLine="720"/>
        <w:jc w:val="both"/>
        <w:rPr>
          <w:rFonts w:asciiTheme="minorHAnsi" w:eastAsia="Times New Roman" w:hAnsiTheme="minorHAnsi" w:cstheme="minorHAnsi"/>
          <w:b/>
          <w:bCs/>
          <w:lang w:eastAsia="ar-SA"/>
        </w:rPr>
      </w:pPr>
      <w:r w:rsidRPr="00D416EA">
        <w:rPr>
          <w:rFonts w:asciiTheme="minorHAnsi" w:eastAsia="Times New Roman" w:hAnsiTheme="minorHAnsi" w:cstheme="minorHAnsi"/>
          <w:b/>
          <w:bCs/>
          <w:lang w:eastAsia="ar-SA"/>
        </w:rPr>
        <w:t xml:space="preserve">Atbilde: </w:t>
      </w:r>
      <w:r w:rsidRPr="00D416EA">
        <w:rPr>
          <w:rFonts w:asciiTheme="minorHAnsi" w:hAnsiTheme="minorHAnsi" w:cstheme="minorHAnsi"/>
        </w:rPr>
        <w:t>Komisija paskaidro, ka LKT/DR daļas 1. kārtas (Lokālā tāme Nr.3) būvdarbu apjomu pozīcijas Nr. 1  un Nr.2 attiecas arī uz drenāžas cauruļu izbūvi.</w:t>
      </w:r>
    </w:p>
    <w:p w:rsidR="00D416EA" w:rsidRPr="00D416EA" w:rsidRDefault="00D416EA" w:rsidP="00D416EA">
      <w:pPr>
        <w:suppressAutoHyphens/>
        <w:ind w:right="49" w:firstLine="720"/>
        <w:jc w:val="both"/>
        <w:rPr>
          <w:rFonts w:asciiTheme="minorHAnsi" w:eastAsia="Times New Roman" w:hAnsiTheme="minorHAnsi" w:cstheme="minorHAnsi"/>
          <w:b/>
          <w:bCs/>
          <w:lang w:eastAsia="ar-SA"/>
        </w:rPr>
      </w:pPr>
    </w:p>
    <w:p w:rsidR="00D416EA" w:rsidRPr="00D416EA" w:rsidRDefault="00D416EA" w:rsidP="00D416EA">
      <w:pPr>
        <w:pStyle w:val="Sarakstarindkopa"/>
        <w:numPr>
          <w:ilvl w:val="0"/>
          <w:numId w:val="1"/>
        </w:numPr>
        <w:suppressAutoHyphens/>
        <w:ind w:left="0" w:right="49" w:firstLine="993"/>
        <w:jc w:val="both"/>
        <w:rPr>
          <w:rFonts w:asciiTheme="minorHAnsi" w:eastAsia="Times New Roman" w:hAnsiTheme="minorHAnsi" w:cstheme="minorHAnsi"/>
          <w:bCs/>
          <w:lang w:eastAsia="ar-SA"/>
        </w:rPr>
      </w:pPr>
      <w:r w:rsidRPr="00D416EA">
        <w:rPr>
          <w:rFonts w:asciiTheme="minorHAnsi" w:eastAsia="Times New Roman" w:hAnsiTheme="minorHAnsi" w:cstheme="minorHAnsi"/>
          <w:b/>
          <w:bCs/>
          <w:lang w:eastAsia="ar-SA"/>
        </w:rPr>
        <w:t xml:space="preserve">Jautājums:  </w:t>
      </w:r>
      <w:r w:rsidRPr="00D416EA">
        <w:rPr>
          <w:rFonts w:asciiTheme="minorHAnsi" w:eastAsia="Times New Roman" w:hAnsiTheme="minorHAnsi" w:cstheme="minorHAnsi"/>
          <w:bCs/>
          <w:lang w:eastAsia="ar-SA"/>
        </w:rPr>
        <w:t>Sniegt precizējumu par 2.kārtas teritorijas sadaļas pozīciju Nr.6.  Vai demontētais bruģis pasūtītājam ir jānodod sakrauts uz paletēm, vai arī to drīkst demontēt ar tehniku un nogādāt pasūtītājam pašizgāzējā?</w:t>
      </w:r>
    </w:p>
    <w:p w:rsidR="00D416EA" w:rsidRPr="00D416EA" w:rsidRDefault="00D416EA" w:rsidP="00D416EA">
      <w:pPr>
        <w:pStyle w:val="Sarakstarindkopa"/>
        <w:suppressAutoHyphens/>
        <w:ind w:left="993" w:right="49"/>
        <w:jc w:val="both"/>
        <w:rPr>
          <w:rFonts w:asciiTheme="minorHAnsi" w:eastAsia="Times New Roman" w:hAnsiTheme="minorHAnsi" w:cstheme="minorHAnsi"/>
          <w:b/>
          <w:bCs/>
          <w:lang w:eastAsia="ar-SA"/>
        </w:rPr>
      </w:pPr>
    </w:p>
    <w:p w:rsidR="00D416EA" w:rsidRPr="00D416EA" w:rsidRDefault="00D416EA" w:rsidP="00D416EA">
      <w:pPr>
        <w:suppressAutoHyphens/>
        <w:ind w:right="49" w:firstLine="720"/>
        <w:jc w:val="both"/>
        <w:rPr>
          <w:rFonts w:asciiTheme="minorHAnsi" w:eastAsia="Times New Roman" w:hAnsiTheme="minorHAnsi" w:cstheme="minorHAnsi"/>
          <w:bCs/>
          <w:color w:val="FF0000"/>
          <w:lang w:eastAsia="ar-SA"/>
        </w:rPr>
      </w:pPr>
      <w:r w:rsidRPr="00D416EA">
        <w:rPr>
          <w:rFonts w:asciiTheme="minorHAnsi" w:eastAsia="Times New Roman" w:hAnsiTheme="minorHAnsi" w:cstheme="minorHAnsi"/>
          <w:b/>
          <w:bCs/>
          <w:lang w:eastAsia="ar-SA"/>
        </w:rPr>
        <w:t xml:space="preserve">Atbilde:  </w:t>
      </w:r>
      <w:r w:rsidRPr="00D416EA">
        <w:rPr>
          <w:rFonts w:asciiTheme="minorHAnsi" w:eastAsia="Times New Roman" w:hAnsiTheme="minorHAnsi" w:cstheme="minorHAnsi"/>
          <w:lang w:eastAsia="ar-SA"/>
        </w:rPr>
        <w:t>Komisija skaidro</w:t>
      </w:r>
      <w:r w:rsidRPr="00D416EA">
        <w:rPr>
          <w:rFonts w:asciiTheme="minorHAnsi" w:eastAsia="Times New Roman" w:hAnsiTheme="minorHAnsi" w:cstheme="minorHAnsi"/>
          <w:b/>
          <w:bCs/>
          <w:lang w:eastAsia="ar-SA"/>
        </w:rPr>
        <w:t xml:space="preserve">, </w:t>
      </w:r>
      <w:r w:rsidRPr="00D416EA">
        <w:rPr>
          <w:rFonts w:asciiTheme="minorHAnsi" w:eastAsia="Times New Roman" w:hAnsiTheme="minorHAnsi" w:cstheme="minorHAnsi"/>
          <w:bCs/>
          <w:lang w:eastAsia="ar-SA"/>
        </w:rPr>
        <w:t>ka demontētais bruģis ir jānodod sakrauts uz paletēm Pasūtītāja norādītā adresē: “Nīcas ATC”, Nīca, Nīcas pagasts, Nīcas novads.</w:t>
      </w:r>
    </w:p>
    <w:p w:rsidR="00D416EA" w:rsidRPr="00D416EA" w:rsidRDefault="00D416EA" w:rsidP="00D416EA">
      <w:pPr>
        <w:suppressAutoHyphens/>
        <w:ind w:right="49" w:firstLine="720"/>
        <w:jc w:val="both"/>
        <w:rPr>
          <w:rFonts w:asciiTheme="minorHAnsi" w:eastAsia="Times New Roman" w:hAnsiTheme="minorHAnsi" w:cstheme="minorHAnsi"/>
          <w:bCs/>
          <w:color w:val="FF0000"/>
          <w:lang w:eastAsia="ar-SA"/>
        </w:rPr>
      </w:pPr>
    </w:p>
    <w:p w:rsidR="00D416EA" w:rsidRPr="00D416EA" w:rsidRDefault="00D416EA" w:rsidP="00D416EA">
      <w:pPr>
        <w:pStyle w:val="Sarakstarindkopa"/>
        <w:numPr>
          <w:ilvl w:val="0"/>
          <w:numId w:val="1"/>
        </w:numPr>
        <w:ind w:left="0" w:firstLine="993"/>
        <w:jc w:val="both"/>
        <w:rPr>
          <w:rFonts w:asciiTheme="minorHAnsi" w:hAnsiTheme="minorHAnsi" w:cstheme="minorHAnsi"/>
          <w:i/>
        </w:rPr>
      </w:pPr>
      <w:r w:rsidRPr="00D416EA">
        <w:rPr>
          <w:rFonts w:asciiTheme="minorHAnsi" w:hAnsiTheme="minorHAnsi" w:cstheme="minorHAnsi"/>
          <w:b/>
          <w:bCs/>
        </w:rPr>
        <w:t xml:space="preserve">Jautājums: </w:t>
      </w:r>
      <w:r w:rsidRPr="00D416EA">
        <w:rPr>
          <w:rFonts w:asciiTheme="minorHAnsi" w:hAnsiTheme="minorHAnsi" w:cstheme="minorHAnsi"/>
        </w:rPr>
        <w:t xml:space="preserve"> Līguma projekta (turpmāk – Līgums) 1.3. punkts paredz, ka </w:t>
      </w:r>
      <w:r w:rsidRPr="00D416EA">
        <w:rPr>
          <w:rFonts w:asciiTheme="minorHAnsi" w:hAnsiTheme="minorHAnsi" w:cstheme="minorHAnsi"/>
          <w:i/>
        </w:rPr>
        <w:t>“</w:t>
      </w:r>
      <w:r w:rsidRPr="00D416EA">
        <w:rPr>
          <w:rFonts w:asciiTheme="minorHAnsi" w:hAnsiTheme="minorHAnsi" w:cstheme="minorHAnsi"/>
          <w:i/>
          <w:color w:val="000000"/>
          <w:spacing w:val="3"/>
        </w:rPr>
        <w:t xml:space="preserve">Būvuzņēmējs apliecina, ka viņš ir pienācīgi iepazinies ar tehniskām specifikācijām, tehnisko projektu, ar tajā ietvertajiem risinājumiem, </w:t>
      </w:r>
      <w:r w:rsidRPr="00D416EA">
        <w:rPr>
          <w:rFonts w:asciiTheme="minorHAnsi" w:hAnsiTheme="minorHAnsi" w:cstheme="minorHAnsi"/>
          <w:i/>
          <w:color w:val="000000"/>
        </w:rPr>
        <w:t xml:space="preserve">darba apjomu, pielietojamiem materiāliem un prasībām, kā arī ar </w:t>
      </w:r>
      <w:r w:rsidRPr="00D416EA">
        <w:rPr>
          <w:rFonts w:asciiTheme="minorHAnsi" w:hAnsiTheme="minorHAnsi" w:cstheme="minorHAnsi"/>
          <w:i/>
        </w:rPr>
        <w:t>Darbu veikšanas vietu un tehnisko stāvokli</w:t>
      </w:r>
      <w:r w:rsidRPr="00D416EA">
        <w:rPr>
          <w:rFonts w:asciiTheme="minorHAnsi" w:hAnsiTheme="minorHAnsi" w:cstheme="minorHAnsi"/>
          <w:i/>
          <w:color w:val="000000"/>
        </w:rPr>
        <w:t xml:space="preserve"> un atsakās </w:t>
      </w:r>
      <w:r w:rsidRPr="00D416EA">
        <w:rPr>
          <w:rFonts w:asciiTheme="minorHAnsi" w:hAnsiTheme="minorHAnsi" w:cstheme="minorHAnsi"/>
          <w:i/>
          <w:color w:val="000000"/>
          <w:spacing w:val="1"/>
        </w:rPr>
        <w:t>saistībā ar to izvirzīt jebkāda satura iebildumus vai pretenzijas pret Pasūtītāju.”</w:t>
      </w:r>
    </w:p>
    <w:p w:rsidR="00D416EA" w:rsidRPr="00D416EA" w:rsidRDefault="00D416EA" w:rsidP="00D416EA">
      <w:pPr>
        <w:pStyle w:val="Sarakstarindkopa"/>
        <w:ind w:left="0" w:firstLine="993"/>
        <w:jc w:val="both"/>
        <w:rPr>
          <w:rFonts w:asciiTheme="minorHAnsi" w:hAnsiTheme="minorHAnsi" w:cstheme="minorHAnsi"/>
          <w:lang w:eastAsia="zh-CN"/>
        </w:rPr>
      </w:pPr>
      <w:r w:rsidRPr="00D416EA">
        <w:rPr>
          <w:rFonts w:asciiTheme="minorHAnsi" w:hAnsiTheme="minorHAnsi" w:cstheme="minorHAnsi"/>
          <w:lang w:eastAsia="zh-CN"/>
        </w:rPr>
        <w:t xml:space="preserve">Lūgums veikt grozījumus Līguma 4.1.5. (precizējam 1.3.) punktā un izteikt to šādā redakcijā </w:t>
      </w:r>
      <w:r w:rsidRPr="00D416EA">
        <w:rPr>
          <w:rFonts w:asciiTheme="minorHAnsi" w:hAnsiTheme="minorHAnsi" w:cstheme="minorHAnsi"/>
          <w:i/>
        </w:rPr>
        <w:t>“</w:t>
      </w:r>
      <w:r w:rsidRPr="00D416EA">
        <w:rPr>
          <w:rFonts w:asciiTheme="minorHAnsi" w:hAnsiTheme="minorHAnsi" w:cstheme="minorHAnsi"/>
          <w:i/>
          <w:color w:val="000000"/>
          <w:spacing w:val="3"/>
        </w:rPr>
        <w:t xml:space="preserve">Būvuzņēmējs apliecina, ka viņš ir pienācīgi iepazinies ar tehniskām specifikācijām, tehnisko projektu, ar tajā ietvertajiem risinājumiem, </w:t>
      </w:r>
      <w:r w:rsidRPr="00D416EA">
        <w:rPr>
          <w:rFonts w:asciiTheme="minorHAnsi" w:hAnsiTheme="minorHAnsi" w:cstheme="minorHAnsi"/>
          <w:i/>
          <w:color w:val="000000"/>
        </w:rPr>
        <w:t xml:space="preserve">darba apjomu, pielietojamiem materiāliem un prasībām, kā arī ar </w:t>
      </w:r>
      <w:r w:rsidRPr="00D416EA">
        <w:rPr>
          <w:rFonts w:asciiTheme="minorHAnsi" w:hAnsiTheme="minorHAnsi" w:cstheme="minorHAnsi"/>
          <w:i/>
        </w:rPr>
        <w:t>Darbu veikšanas vietu un tehnisko stāvokli”.</w:t>
      </w:r>
    </w:p>
    <w:p w:rsidR="00D416EA" w:rsidRPr="00D416EA" w:rsidRDefault="00D416EA" w:rsidP="00D416EA">
      <w:pPr>
        <w:suppressAutoHyphens/>
        <w:ind w:right="49" w:firstLine="720"/>
        <w:jc w:val="both"/>
        <w:rPr>
          <w:rFonts w:asciiTheme="minorHAnsi" w:eastAsia="Times New Roman" w:hAnsiTheme="minorHAnsi" w:cstheme="minorHAnsi"/>
          <w:b/>
          <w:bCs/>
          <w:lang w:eastAsia="ar-SA"/>
        </w:rPr>
      </w:pPr>
    </w:p>
    <w:p w:rsidR="00D416EA" w:rsidRPr="00D416EA" w:rsidRDefault="00D416EA" w:rsidP="00D416EA">
      <w:pPr>
        <w:suppressAutoHyphens/>
        <w:ind w:right="49" w:firstLine="720"/>
        <w:jc w:val="both"/>
        <w:rPr>
          <w:rFonts w:asciiTheme="minorHAnsi" w:hAnsiTheme="minorHAnsi" w:cstheme="minorHAnsi"/>
        </w:rPr>
      </w:pPr>
      <w:r w:rsidRPr="00D416EA">
        <w:rPr>
          <w:rFonts w:asciiTheme="minorHAnsi" w:eastAsia="Times New Roman" w:hAnsiTheme="minorHAnsi" w:cstheme="minorHAnsi"/>
          <w:b/>
          <w:bCs/>
          <w:lang w:eastAsia="ar-SA"/>
        </w:rPr>
        <w:t xml:space="preserve">Atbilde:  </w:t>
      </w:r>
      <w:r w:rsidRPr="00D416EA">
        <w:rPr>
          <w:rFonts w:asciiTheme="minorHAnsi" w:eastAsia="Times New Roman" w:hAnsiTheme="minorHAnsi" w:cstheme="minorHAnsi"/>
          <w:bCs/>
          <w:lang w:eastAsia="ar-SA"/>
        </w:rPr>
        <w:t xml:space="preserve">Pretendentam pirms pieteikuma iesniegšanas dalībai konkursā ir jāiepazīstas </w:t>
      </w:r>
      <w:r w:rsidRPr="00D416EA">
        <w:rPr>
          <w:rFonts w:asciiTheme="minorHAnsi" w:hAnsiTheme="minorHAnsi" w:cstheme="minorHAnsi"/>
          <w:color w:val="000000"/>
          <w:spacing w:val="3"/>
        </w:rPr>
        <w:t xml:space="preserve">ar Nīcas sporta laukuma būvniecības tehniskām specifikācijām, </w:t>
      </w:r>
      <w:r w:rsidRPr="00D416EA">
        <w:rPr>
          <w:rFonts w:asciiTheme="minorHAnsi" w:hAnsiTheme="minorHAnsi" w:cstheme="minorHAnsi"/>
          <w:color w:val="000000"/>
          <w:spacing w:val="3"/>
        </w:rPr>
        <w:lastRenderedPageBreak/>
        <w:t xml:space="preserve">tehnisko projektu, ar tajā ietvertajiem risinājumiem, </w:t>
      </w:r>
      <w:r w:rsidRPr="00D416EA">
        <w:rPr>
          <w:rFonts w:asciiTheme="minorHAnsi" w:hAnsiTheme="minorHAnsi" w:cstheme="minorHAnsi"/>
          <w:color w:val="000000"/>
        </w:rPr>
        <w:t xml:space="preserve">darba apjomu, pielietojamiem materiāliem un prasībām, kā arī ar </w:t>
      </w:r>
      <w:r w:rsidRPr="00D416EA">
        <w:rPr>
          <w:rFonts w:asciiTheme="minorHAnsi" w:hAnsiTheme="minorHAnsi" w:cstheme="minorHAnsi"/>
        </w:rPr>
        <w:t>Darbu veikšanas vietu un tehnisko stāvokli, līdz ar to Līguma projekta 1.3. punkts tiek atstāts negrozīts, esošajā redakcijā.</w:t>
      </w:r>
    </w:p>
    <w:p w:rsidR="00D416EA" w:rsidRPr="00D416EA" w:rsidRDefault="00D416EA" w:rsidP="00D416EA">
      <w:pPr>
        <w:suppressAutoHyphens/>
        <w:ind w:right="49" w:firstLine="720"/>
        <w:jc w:val="both"/>
        <w:rPr>
          <w:rFonts w:asciiTheme="minorHAnsi" w:hAnsiTheme="minorHAnsi" w:cstheme="minorHAnsi"/>
        </w:rPr>
      </w:pPr>
    </w:p>
    <w:p w:rsidR="00D416EA" w:rsidRPr="00D416EA" w:rsidRDefault="00D416EA" w:rsidP="00D416EA">
      <w:pPr>
        <w:pStyle w:val="Sarakstarindkopa"/>
        <w:widowControl w:val="0"/>
        <w:numPr>
          <w:ilvl w:val="0"/>
          <w:numId w:val="1"/>
        </w:numPr>
        <w:shd w:val="clear" w:color="auto" w:fill="FFFFFF"/>
        <w:tabs>
          <w:tab w:val="left" w:pos="0"/>
        </w:tabs>
        <w:suppressAutoHyphens/>
        <w:autoSpaceDE w:val="0"/>
        <w:ind w:left="0" w:firstLine="993"/>
        <w:jc w:val="both"/>
        <w:rPr>
          <w:rFonts w:asciiTheme="minorHAnsi" w:hAnsiTheme="minorHAnsi" w:cstheme="minorHAnsi"/>
          <w:color w:val="000000"/>
          <w:spacing w:val="-1"/>
        </w:rPr>
      </w:pPr>
      <w:r w:rsidRPr="00D416EA">
        <w:rPr>
          <w:rFonts w:asciiTheme="minorHAnsi" w:eastAsia="Times New Roman" w:hAnsiTheme="minorHAnsi" w:cstheme="minorHAnsi"/>
          <w:b/>
          <w:bCs/>
          <w:lang w:eastAsia="ar-SA"/>
        </w:rPr>
        <w:t xml:space="preserve">Jautājums:  </w:t>
      </w:r>
      <w:r w:rsidRPr="00D416EA">
        <w:rPr>
          <w:rFonts w:asciiTheme="minorHAnsi" w:eastAsia="Times New Roman" w:hAnsiTheme="minorHAnsi" w:cstheme="minorHAnsi"/>
          <w:bCs/>
          <w:lang w:eastAsia="ar-SA"/>
        </w:rPr>
        <w:t xml:space="preserve">Līguma 2.11. punkts paredz, ka </w:t>
      </w:r>
      <w:r w:rsidRPr="00D416EA">
        <w:rPr>
          <w:rFonts w:asciiTheme="minorHAnsi" w:eastAsia="Times New Roman" w:hAnsiTheme="minorHAnsi" w:cstheme="minorHAnsi"/>
          <w:bCs/>
          <w:i/>
          <w:lang w:eastAsia="ar-SA"/>
        </w:rPr>
        <w:t>“</w:t>
      </w:r>
      <w:r w:rsidRPr="00D416EA">
        <w:rPr>
          <w:rFonts w:asciiTheme="minorHAnsi" w:hAnsiTheme="minorHAnsi" w:cstheme="minorHAnsi"/>
          <w:i/>
          <w:color w:val="000000"/>
          <w:spacing w:val="-1"/>
        </w:rPr>
        <w:t>Pasūtītājs ir tiesīgs pieprasīt informāciju par objektā nodarbināto personu darba tiesiskajām attiecībām.”</w:t>
      </w:r>
    </w:p>
    <w:p w:rsidR="00D416EA" w:rsidRPr="00D416EA" w:rsidRDefault="00D416EA" w:rsidP="00D416EA">
      <w:pPr>
        <w:pStyle w:val="Sarakstarindkopa"/>
        <w:widowControl w:val="0"/>
        <w:shd w:val="clear" w:color="auto" w:fill="FFFFFF"/>
        <w:tabs>
          <w:tab w:val="left" w:pos="0"/>
        </w:tabs>
        <w:suppressAutoHyphens/>
        <w:autoSpaceDE w:val="0"/>
        <w:ind w:left="0"/>
        <w:jc w:val="both"/>
        <w:rPr>
          <w:rFonts w:asciiTheme="minorHAnsi" w:hAnsiTheme="minorHAnsi" w:cstheme="minorHAnsi"/>
          <w:color w:val="000000"/>
          <w:spacing w:val="-1"/>
        </w:rPr>
      </w:pPr>
      <w:r w:rsidRPr="00D416EA">
        <w:rPr>
          <w:rFonts w:asciiTheme="minorHAnsi" w:eastAsia="Times New Roman" w:hAnsiTheme="minorHAnsi" w:cstheme="minorHAnsi"/>
          <w:bCs/>
          <w:lang w:eastAsia="ar-SA"/>
        </w:rPr>
        <w:tab/>
        <w:t>Lūgums veikt precizējumu Līguma 2.11.punktā norādītajam pieprasītās informācijas apjomam un norādīt specifisku dokumentu uzskaitījumu, ņemot vērā spēkā esošo datu aizsardzības regulējumu.</w:t>
      </w:r>
    </w:p>
    <w:p w:rsidR="00D416EA" w:rsidRPr="00D416EA" w:rsidRDefault="00D416EA" w:rsidP="00D416EA">
      <w:pPr>
        <w:pStyle w:val="Sarakstarindkopa"/>
        <w:suppressAutoHyphens/>
        <w:ind w:left="993" w:right="49"/>
        <w:jc w:val="both"/>
        <w:rPr>
          <w:rFonts w:asciiTheme="minorHAnsi" w:eastAsia="Times New Roman" w:hAnsiTheme="minorHAnsi" w:cstheme="minorHAnsi"/>
          <w:b/>
          <w:bCs/>
          <w:lang w:eastAsia="ar-SA"/>
        </w:rPr>
      </w:pPr>
    </w:p>
    <w:p w:rsidR="00D416EA" w:rsidRPr="00D416EA" w:rsidRDefault="00D416EA" w:rsidP="00D416EA">
      <w:pPr>
        <w:suppressAutoHyphens/>
        <w:ind w:right="49" w:firstLine="720"/>
        <w:jc w:val="both"/>
        <w:rPr>
          <w:rFonts w:asciiTheme="minorHAnsi" w:eastAsia="Times New Roman" w:hAnsiTheme="minorHAnsi" w:cstheme="minorHAnsi"/>
          <w:bCs/>
          <w:lang w:eastAsia="ar-SA"/>
        </w:rPr>
      </w:pPr>
      <w:r w:rsidRPr="00D416EA">
        <w:rPr>
          <w:rFonts w:asciiTheme="minorHAnsi" w:eastAsia="Times New Roman" w:hAnsiTheme="minorHAnsi" w:cstheme="minorHAnsi"/>
          <w:b/>
          <w:bCs/>
          <w:lang w:eastAsia="ar-SA"/>
        </w:rPr>
        <w:t xml:space="preserve">Atbilde:  </w:t>
      </w:r>
      <w:r w:rsidRPr="00D416EA">
        <w:rPr>
          <w:rFonts w:asciiTheme="minorHAnsi" w:eastAsia="Times New Roman" w:hAnsiTheme="minorHAnsi" w:cstheme="minorHAnsi"/>
          <w:bCs/>
          <w:lang w:eastAsia="ar-SA"/>
        </w:rPr>
        <w:t>Ar šo tiek sniegta atbilde un paskaidrots, ka Pasūtītājs ir tiesīgs pārliecināties un pieprasīt informāciju, kas saistīta ar Objektā nodarbināto personu par darba tiesiskajām attiecībām (uzrādīt līgumu), atbilstoši Līguma 1.5. punktā noteiktajam, ka Pusēm ir saistoši normatīvo aktu nosacījumi.</w:t>
      </w:r>
    </w:p>
    <w:p w:rsidR="00D416EA" w:rsidRPr="00D416EA" w:rsidRDefault="00D416EA" w:rsidP="00D416EA">
      <w:pPr>
        <w:suppressAutoHyphens/>
        <w:ind w:right="49" w:firstLine="720"/>
        <w:jc w:val="both"/>
        <w:rPr>
          <w:rFonts w:asciiTheme="minorHAnsi" w:eastAsia="Times New Roman" w:hAnsiTheme="minorHAnsi" w:cstheme="minorHAnsi"/>
          <w:bCs/>
          <w:color w:val="FF0000"/>
          <w:lang w:eastAsia="ar-SA"/>
        </w:rPr>
      </w:pPr>
    </w:p>
    <w:p w:rsidR="00D416EA" w:rsidRPr="00D416EA" w:rsidRDefault="00D416EA" w:rsidP="00D416EA">
      <w:pPr>
        <w:pStyle w:val="Sarakstarindkopa"/>
        <w:numPr>
          <w:ilvl w:val="0"/>
          <w:numId w:val="1"/>
        </w:numPr>
        <w:tabs>
          <w:tab w:val="left" w:pos="0"/>
        </w:tabs>
        <w:ind w:left="0" w:firstLine="993"/>
        <w:jc w:val="both"/>
        <w:rPr>
          <w:rFonts w:asciiTheme="minorHAnsi" w:hAnsiTheme="minorHAnsi" w:cstheme="minorHAnsi"/>
          <w:i/>
        </w:rPr>
      </w:pPr>
      <w:r w:rsidRPr="00D416EA">
        <w:rPr>
          <w:rFonts w:asciiTheme="minorHAnsi" w:eastAsia="Times New Roman" w:hAnsiTheme="minorHAnsi" w:cstheme="minorHAnsi"/>
          <w:b/>
          <w:bCs/>
          <w:lang w:eastAsia="ar-SA"/>
        </w:rPr>
        <w:t xml:space="preserve">Jautājums:  </w:t>
      </w:r>
      <w:r w:rsidRPr="00D416EA">
        <w:rPr>
          <w:rFonts w:asciiTheme="minorHAnsi" w:eastAsia="Times New Roman" w:hAnsiTheme="minorHAnsi" w:cstheme="minorHAnsi"/>
          <w:bCs/>
          <w:lang w:eastAsia="ar-SA"/>
        </w:rPr>
        <w:t>Līguma 6.2.punkts paredz, ka “</w:t>
      </w:r>
      <w:r w:rsidRPr="00D416EA">
        <w:rPr>
          <w:rFonts w:asciiTheme="minorHAnsi" w:hAnsiTheme="minorHAnsi" w:cstheme="minorHAnsi"/>
          <w:i/>
        </w:rPr>
        <w:t>Visu risku par Darbu un Objekta bojāšanu vai iznīcināšanu laika posmā no Darbu uzsākšanas līdz Objekta nodošanai ekspluatācijā nes Būvuzņēmējs. Būvuzņēmējs ir pilnā mērā materiāli atbildīgs par Pasūtītājam radītajiem bojājumiem un sedz visus zaudējumus, kas radušies Objektam vai tā daļai, materiāliem un tehniskajiem līdzekļiem, kā arī ēkām, būvēm, videi vai inventāram.”</w:t>
      </w:r>
    </w:p>
    <w:p w:rsidR="00D416EA" w:rsidRPr="00D416EA" w:rsidRDefault="00D416EA" w:rsidP="00D416EA">
      <w:pPr>
        <w:pStyle w:val="Sarakstarindkopa"/>
        <w:tabs>
          <w:tab w:val="left" w:pos="0"/>
        </w:tabs>
        <w:ind w:left="0" w:firstLine="993"/>
        <w:jc w:val="both"/>
        <w:rPr>
          <w:rFonts w:asciiTheme="minorHAnsi" w:hAnsiTheme="minorHAnsi" w:cstheme="minorHAnsi"/>
          <w:i/>
        </w:rPr>
      </w:pPr>
      <w:r w:rsidRPr="00D416EA">
        <w:rPr>
          <w:rFonts w:asciiTheme="minorHAnsi" w:eastAsia="Times New Roman" w:hAnsiTheme="minorHAnsi" w:cstheme="minorHAnsi"/>
          <w:bCs/>
          <w:lang w:eastAsia="ar-SA"/>
        </w:rPr>
        <w:t xml:space="preserve">Lūgums veikt labojumu līguma 6.2.punktā un izteikt to šādā redakcijā </w:t>
      </w:r>
      <w:r w:rsidRPr="00D416EA">
        <w:rPr>
          <w:rFonts w:asciiTheme="minorHAnsi" w:eastAsia="Times New Roman" w:hAnsiTheme="minorHAnsi" w:cstheme="minorHAnsi"/>
          <w:bCs/>
          <w:i/>
          <w:lang w:eastAsia="ar-SA"/>
        </w:rPr>
        <w:t>”</w:t>
      </w:r>
      <w:r w:rsidRPr="00D416EA">
        <w:rPr>
          <w:rFonts w:asciiTheme="minorHAnsi" w:eastAsia="Times New Roman" w:hAnsiTheme="minorHAnsi" w:cstheme="minorHAnsi"/>
          <w:bCs/>
          <w:lang w:eastAsia="ar-SA"/>
        </w:rPr>
        <w:t xml:space="preserve"> “</w:t>
      </w:r>
      <w:r w:rsidRPr="00D416EA">
        <w:rPr>
          <w:rFonts w:asciiTheme="minorHAnsi" w:hAnsiTheme="minorHAnsi" w:cstheme="minorHAnsi"/>
          <w:i/>
        </w:rPr>
        <w:t xml:space="preserve">Visu risku par Darbu un Objekta bojāšanu vai iznīcināšanu laika posmā no Darbu uzsākšanas līdz Objekta nodošanai ekspluatācijā nes Būvuzņēmējs. Būvuzņēmējs ir pilnā mērā materiāli atbildīgs par Pasūtītājam radītajiem </w:t>
      </w:r>
      <w:r w:rsidRPr="00D416EA">
        <w:rPr>
          <w:rFonts w:asciiTheme="minorHAnsi" w:hAnsiTheme="minorHAnsi" w:cstheme="minorHAnsi"/>
          <w:b/>
          <w:i/>
        </w:rPr>
        <w:t>tiešiem</w:t>
      </w:r>
      <w:r w:rsidRPr="00D416EA">
        <w:rPr>
          <w:rFonts w:asciiTheme="minorHAnsi" w:hAnsiTheme="minorHAnsi" w:cstheme="minorHAnsi"/>
          <w:i/>
        </w:rPr>
        <w:t xml:space="preserve"> bojājumiem un sedz visus </w:t>
      </w:r>
      <w:r w:rsidRPr="00D416EA">
        <w:rPr>
          <w:rFonts w:asciiTheme="minorHAnsi" w:hAnsiTheme="minorHAnsi" w:cstheme="minorHAnsi"/>
          <w:b/>
          <w:i/>
        </w:rPr>
        <w:t>tiešos</w:t>
      </w:r>
      <w:r w:rsidRPr="00D416EA">
        <w:rPr>
          <w:rFonts w:asciiTheme="minorHAnsi" w:hAnsiTheme="minorHAnsi" w:cstheme="minorHAnsi"/>
          <w:i/>
        </w:rPr>
        <w:t xml:space="preserve"> zaudējumus, kas radušies Objektam vai tā daļai, materiāliem un tehniskajiem līdzekļiem, kā arī ēkām, būvēm, videi vai inventāram.”</w:t>
      </w:r>
    </w:p>
    <w:p w:rsidR="00D416EA" w:rsidRPr="00D416EA" w:rsidRDefault="00D416EA" w:rsidP="00D416EA">
      <w:pPr>
        <w:pStyle w:val="Sarakstarindkopa"/>
        <w:tabs>
          <w:tab w:val="left" w:pos="0"/>
        </w:tabs>
        <w:ind w:left="993"/>
        <w:jc w:val="both"/>
        <w:rPr>
          <w:rFonts w:asciiTheme="minorHAnsi" w:eastAsia="Times New Roman" w:hAnsiTheme="minorHAnsi" w:cstheme="minorHAnsi"/>
          <w:bCs/>
          <w:i/>
          <w:lang w:eastAsia="ar-SA"/>
        </w:rPr>
      </w:pPr>
    </w:p>
    <w:p w:rsidR="00D416EA" w:rsidRPr="00D416EA" w:rsidRDefault="00D416EA" w:rsidP="00D416EA">
      <w:pPr>
        <w:pStyle w:val="Sarakstarindkopa"/>
        <w:tabs>
          <w:tab w:val="left" w:pos="0"/>
        </w:tabs>
        <w:ind w:left="0" w:firstLine="993"/>
        <w:jc w:val="both"/>
        <w:rPr>
          <w:rFonts w:asciiTheme="minorHAnsi" w:eastAsia="Times New Roman" w:hAnsiTheme="minorHAnsi" w:cstheme="minorHAnsi"/>
          <w:bCs/>
          <w:lang w:eastAsia="ar-SA"/>
        </w:rPr>
      </w:pPr>
      <w:r w:rsidRPr="00D416EA">
        <w:rPr>
          <w:rFonts w:asciiTheme="minorHAnsi" w:eastAsia="Times New Roman" w:hAnsiTheme="minorHAnsi" w:cstheme="minorHAnsi"/>
          <w:b/>
          <w:bCs/>
          <w:lang w:eastAsia="ar-SA"/>
        </w:rPr>
        <w:t xml:space="preserve">Atbilde:  </w:t>
      </w:r>
      <w:r w:rsidRPr="00D416EA">
        <w:rPr>
          <w:rFonts w:asciiTheme="minorHAnsi" w:eastAsia="Times New Roman" w:hAnsiTheme="minorHAnsi" w:cstheme="minorHAnsi"/>
          <w:bCs/>
          <w:lang w:eastAsia="ar-SA"/>
        </w:rPr>
        <w:t>Komisija paskaidro,</w:t>
      </w:r>
      <w:r w:rsidRPr="00D416EA">
        <w:rPr>
          <w:rFonts w:asciiTheme="minorHAnsi" w:eastAsia="Times New Roman" w:hAnsiTheme="minorHAnsi" w:cstheme="minorHAnsi"/>
          <w:b/>
          <w:bCs/>
          <w:lang w:eastAsia="ar-SA"/>
        </w:rPr>
        <w:t xml:space="preserve"> </w:t>
      </w:r>
      <w:r w:rsidRPr="00D416EA">
        <w:rPr>
          <w:rFonts w:asciiTheme="minorHAnsi" w:eastAsia="Times New Roman" w:hAnsiTheme="minorHAnsi" w:cstheme="minorHAnsi"/>
          <w:bCs/>
          <w:lang w:eastAsia="ar-SA"/>
        </w:rPr>
        <w:t>Pretendentam ir jāuzņemas pilna atbildība par visiem nodarītajiem zaudējumiem – gan tiešiem, gan netiešiem. Līdz ar to,</w:t>
      </w:r>
      <w:r w:rsidRPr="00D416EA">
        <w:rPr>
          <w:rFonts w:asciiTheme="minorHAnsi" w:eastAsia="Times New Roman" w:hAnsiTheme="minorHAnsi" w:cstheme="minorHAnsi"/>
          <w:b/>
          <w:bCs/>
          <w:lang w:eastAsia="ar-SA"/>
        </w:rPr>
        <w:t xml:space="preserve"> </w:t>
      </w:r>
      <w:r w:rsidRPr="00D416EA">
        <w:rPr>
          <w:rFonts w:asciiTheme="minorHAnsi" w:eastAsia="Times New Roman" w:hAnsiTheme="minorHAnsi" w:cstheme="minorHAnsi"/>
          <w:bCs/>
          <w:lang w:eastAsia="ar-SA"/>
        </w:rPr>
        <w:t>Līguma grozījumi netiek veikti un esošā Līguma redakcija paliek nemainīga.</w:t>
      </w:r>
    </w:p>
    <w:p w:rsidR="00D416EA" w:rsidRPr="00D416EA" w:rsidRDefault="00D416EA" w:rsidP="00D416EA">
      <w:pPr>
        <w:pStyle w:val="Sarakstarindkopa"/>
        <w:tabs>
          <w:tab w:val="left" w:pos="0"/>
        </w:tabs>
        <w:ind w:left="993"/>
        <w:jc w:val="both"/>
        <w:rPr>
          <w:rFonts w:asciiTheme="minorHAnsi" w:eastAsia="Times New Roman" w:hAnsiTheme="minorHAnsi" w:cstheme="minorHAnsi"/>
          <w:b/>
          <w:bCs/>
          <w:lang w:eastAsia="ar-SA"/>
        </w:rPr>
      </w:pPr>
    </w:p>
    <w:p w:rsidR="00D416EA" w:rsidRPr="00D416EA" w:rsidRDefault="00D416EA" w:rsidP="00D416EA">
      <w:pPr>
        <w:pStyle w:val="Sarakstarindkopa"/>
        <w:numPr>
          <w:ilvl w:val="0"/>
          <w:numId w:val="1"/>
        </w:numPr>
        <w:suppressAutoHyphens/>
        <w:ind w:left="0" w:right="49" w:firstLine="993"/>
        <w:jc w:val="both"/>
        <w:rPr>
          <w:rFonts w:asciiTheme="minorHAnsi" w:eastAsia="Times New Roman" w:hAnsiTheme="minorHAnsi" w:cstheme="minorHAnsi"/>
          <w:b/>
          <w:bCs/>
          <w:lang w:eastAsia="ar-SA"/>
        </w:rPr>
      </w:pPr>
      <w:r w:rsidRPr="00D416EA">
        <w:rPr>
          <w:rFonts w:asciiTheme="minorHAnsi" w:eastAsia="Times New Roman" w:hAnsiTheme="minorHAnsi" w:cstheme="minorHAnsi"/>
          <w:b/>
          <w:bCs/>
          <w:lang w:eastAsia="ar-SA"/>
        </w:rPr>
        <w:t xml:space="preserve">Jautājums: </w:t>
      </w:r>
      <w:r w:rsidRPr="00D416EA">
        <w:rPr>
          <w:rFonts w:asciiTheme="minorHAnsi" w:eastAsia="Times New Roman" w:hAnsiTheme="minorHAnsi" w:cstheme="minorHAnsi"/>
          <w:bCs/>
          <w:lang w:eastAsia="ar-SA"/>
        </w:rPr>
        <w:t>Līguma 8.4.punkts paredz, ka:</w:t>
      </w:r>
      <w:r w:rsidRPr="00D416EA">
        <w:rPr>
          <w:rFonts w:asciiTheme="minorHAnsi" w:eastAsia="Times New Roman" w:hAnsiTheme="minorHAnsi" w:cstheme="minorHAnsi"/>
          <w:b/>
          <w:bCs/>
          <w:lang w:eastAsia="ar-SA"/>
        </w:rPr>
        <w:t xml:space="preserve"> </w:t>
      </w:r>
      <w:r w:rsidRPr="00D416EA">
        <w:rPr>
          <w:rFonts w:asciiTheme="minorHAnsi" w:eastAsia="Times New Roman" w:hAnsiTheme="minorHAnsi" w:cstheme="minorHAnsi"/>
          <w:bCs/>
          <w:iCs/>
          <w:lang w:eastAsia="ar-SA"/>
        </w:rPr>
        <w:t>“</w:t>
      </w:r>
      <w:r w:rsidRPr="00D416EA">
        <w:rPr>
          <w:rFonts w:asciiTheme="minorHAnsi" w:hAnsiTheme="minorHAnsi" w:cstheme="minorHAnsi"/>
          <w:i/>
          <w:color w:val="000000"/>
          <w:spacing w:val="-2"/>
        </w:rPr>
        <w:t>Gadījumā, ja Puses, sastādot defektu aktu, nevar vienoties par konstatēto defektu, tā piekritību garantijai vai nepieciešamajiem defektu novēršanas termiņiem, vai arī garantijas ietvaros veikto darbu kvalitātei, Puses 2 (divu) darba dienu laikā rakstiski vienojas par eksperta pieaicināšanu. Eksperta viedoklis ir izšķirošs. Eksperta apmaksu sedz tā puse, kurai eksperta viedoklis ir par sliktu. Ja Puses nevar vienoties par pieaicināmo ekspertu, tad tiek uzaicināts Pasūtītāja norādītais eksperts un viņa viedoklis ir saistošs Pusēm</w:t>
      </w:r>
      <w:r w:rsidRPr="00D416EA">
        <w:rPr>
          <w:rFonts w:asciiTheme="minorHAnsi" w:hAnsiTheme="minorHAnsi" w:cstheme="minorHAnsi"/>
          <w:color w:val="000000"/>
          <w:spacing w:val="-2"/>
        </w:rPr>
        <w:t>”.</w:t>
      </w:r>
    </w:p>
    <w:p w:rsidR="00D416EA" w:rsidRPr="00D416EA" w:rsidRDefault="00D416EA" w:rsidP="00D416EA">
      <w:pPr>
        <w:pStyle w:val="Sarakstarindkopa"/>
        <w:suppressAutoHyphens/>
        <w:ind w:left="0" w:right="49" w:firstLine="993"/>
        <w:jc w:val="both"/>
        <w:rPr>
          <w:rFonts w:asciiTheme="minorHAnsi" w:hAnsiTheme="minorHAnsi" w:cstheme="minorHAnsi"/>
          <w:i/>
          <w:color w:val="000000"/>
          <w:spacing w:val="-2"/>
        </w:rPr>
      </w:pPr>
      <w:r w:rsidRPr="00D416EA">
        <w:rPr>
          <w:rFonts w:asciiTheme="minorHAnsi" w:eastAsia="Times New Roman" w:hAnsiTheme="minorHAnsi" w:cstheme="minorHAnsi"/>
          <w:bCs/>
          <w:lang w:eastAsia="ar-SA"/>
        </w:rPr>
        <w:t xml:space="preserve">Lūgums veikt labojumus un izteikt līguma 8.4. punktu šādā redakcijā: </w:t>
      </w:r>
      <w:r w:rsidRPr="00D416EA">
        <w:rPr>
          <w:rFonts w:asciiTheme="minorHAnsi" w:eastAsia="Times New Roman" w:hAnsiTheme="minorHAnsi" w:cstheme="minorHAnsi"/>
          <w:bCs/>
          <w:i/>
          <w:lang w:eastAsia="ar-SA"/>
        </w:rPr>
        <w:t>“</w:t>
      </w:r>
      <w:r w:rsidRPr="00D416EA">
        <w:rPr>
          <w:rFonts w:asciiTheme="minorHAnsi" w:hAnsiTheme="minorHAnsi" w:cstheme="minorHAnsi"/>
          <w:i/>
          <w:color w:val="000000"/>
          <w:spacing w:val="-2"/>
        </w:rPr>
        <w:t>Gadījumā, ja Puses, sastādot defektu aktu, nevar vienoties par konstatēto defektu, tā piekritību garantijai vai nepieciešamajiem defektu novēršanas termiņiem, vai arī garantijas ietvaros veikto darbu kvalitātei, Puses 2 (divu) darba dienu laikā rakstiski vienojas par eksperta pieaicināšanu. Eksperta viedoklis ir izšķirošs. Eksperta apmaksu sedz tā puse, kurai eksperta viedoklis ir par sliktu.”</w:t>
      </w:r>
    </w:p>
    <w:p w:rsidR="00D416EA" w:rsidRPr="00D416EA" w:rsidRDefault="00D416EA" w:rsidP="00D416EA">
      <w:pPr>
        <w:pStyle w:val="Sarakstarindkopa"/>
        <w:suppressAutoHyphens/>
        <w:ind w:left="0" w:right="49" w:firstLine="993"/>
        <w:jc w:val="both"/>
        <w:rPr>
          <w:rFonts w:asciiTheme="minorHAnsi" w:hAnsiTheme="minorHAnsi" w:cstheme="minorHAnsi"/>
          <w:i/>
          <w:color w:val="000000"/>
          <w:spacing w:val="-2"/>
        </w:rPr>
      </w:pPr>
    </w:p>
    <w:p w:rsidR="006146AF" w:rsidRDefault="00D416EA" w:rsidP="00D416EA">
      <w:pPr>
        <w:pStyle w:val="Sarakstarindkopa"/>
        <w:suppressAutoHyphens/>
        <w:ind w:left="0" w:right="49" w:firstLine="993"/>
        <w:jc w:val="both"/>
      </w:pPr>
      <w:r w:rsidRPr="00D416EA">
        <w:rPr>
          <w:rFonts w:asciiTheme="minorHAnsi" w:hAnsiTheme="minorHAnsi" w:cstheme="minorHAnsi"/>
          <w:b/>
          <w:color w:val="000000"/>
          <w:spacing w:val="-2"/>
        </w:rPr>
        <w:t xml:space="preserve">Atbilde: </w:t>
      </w:r>
      <w:r w:rsidRPr="00D416EA">
        <w:rPr>
          <w:rFonts w:asciiTheme="minorHAnsi" w:eastAsia="Times New Roman" w:hAnsiTheme="minorHAnsi" w:cstheme="minorHAnsi"/>
          <w:bCs/>
          <w:lang w:eastAsia="ar-SA"/>
        </w:rPr>
        <w:t>Ar šo tiek sniegta atbilde un paskaidrots, ka tikai gadījumā, ja Puses nespēj vienoties</w:t>
      </w:r>
      <w:r w:rsidRPr="00D416EA">
        <w:rPr>
          <w:rStyle w:val="Komentraatsauce"/>
          <w:rFonts w:asciiTheme="minorHAnsi" w:eastAsiaTheme="minorHAnsi" w:hAnsiTheme="minorHAnsi" w:cstheme="minorHAnsi"/>
          <w:sz w:val="24"/>
          <w:szCs w:val="24"/>
          <w:lang w:eastAsia="en-US"/>
        </w:rPr>
        <w:t>, P</w:t>
      </w:r>
      <w:r w:rsidRPr="00D416EA">
        <w:rPr>
          <w:rFonts w:asciiTheme="minorHAnsi" w:eastAsia="Times New Roman" w:hAnsiTheme="minorHAnsi" w:cstheme="minorHAnsi"/>
          <w:bCs/>
          <w:lang w:eastAsia="ar-SA"/>
        </w:rPr>
        <w:t>asūtītājs ir tiesīgs pieaicināt ekspertu, kas ir saistošs abām Pusēm. Gadījumā, ja kāda no Pusēm uzskatīs, ka eksperta viedoklis ir apstrīdams un strīds nav atrisināms sarunu ceļā, var rīkoties atbilstoši Līguma 13. sadaļai, kas nosaka strīdu izskatīšanas un risināšanas kārtību.</w:t>
      </w:r>
      <w:bookmarkStart w:id="0" w:name="_GoBack"/>
      <w:bookmarkEnd w:id="0"/>
    </w:p>
    <w:sectPr w:rsidR="006146AF" w:rsidSect="00561757">
      <w:pgSz w:w="11906" w:h="16838"/>
      <w:pgMar w:top="3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A57BE"/>
    <w:multiLevelType w:val="hybridMultilevel"/>
    <w:tmpl w:val="CED6A2A6"/>
    <w:lvl w:ilvl="0" w:tplc="54BAB940">
      <w:start w:val="1"/>
      <w:numFmt w:val="decimal"/>
      <w:lvlText w:val="%1."/>
      <w:lvlJc w:val="left"/>
      <w:pPr>
        <w:ind w:left="1353" w:hanging="360"/>
      </w:pPr>
      <w:rPr>
        <w:rFonts w:hint="default"/>
        <w:b/>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52"/>
    <w:rsid w:val="000F1333"/>
    <w:rsid w:val="006146AF"/>
    <w:rsid w:val="00D416EA"/>
    <w:rsid w:val="00F362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3625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F36252"/>
    <w:pPr>
      <w:ind w:left="720"/>
      <w:contextualSpacing/>
    </w:p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F36252"/>
    <w:rPr>
      <w:rFonts w:ascii="Times New Roman" w:eastAsia="Calibri" w:hAnsi="Times New Roman" w:cs="Times New Roman"/>
      <w:sz w:val="24"/>
      <w:szCs w:val="24"/>
      <w:lang w:eastAsia="lv-LV"/>
    </w:rPr>
  </w:style>
  <w:style w:type="paragraph" w:styleId="Galvene">
    <w:name w:val="header"/>
    <w:aliases w:val="Rakstz. Rakstz.,Char,Rakstz.2,Rakstz. Char Char,Rakstz. Char,Char2"/>
    <w:basedOn w:val="Parasts"/>
    <w:link w:val="GalveneRakstz"/>
    <w:rsid w:val="00F36252"/>
    <w:pPr>
      <w:tabs>
        <w:tab w:val="center" w:pos="4153"/>
        <w:tab w:val="right" w:pos="8306"/>
      </w:tabs>
    </w:pPr>
  </w:style>
  <w:style w:type="character" w:customStyle="1" w:styleId="GalveneRakstz">
    <w:name w:val="Galvene Rakstz."/>
    <w:aliases w:val="Rakstz. Rakstz. Rakstz.,Char Rakstz.,Rakstz.2 Rakstz.,Rakstz. Char Char Rakstz.,Rakstz. Char Rakstz.,Char2 Rakstz."/>
    <w:basedOn w:val="Noklusjumarindkopasfonts"/>
    <w:link w:val="Galvene"/>
    <w:rsid w:val="00F36252"/>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F3625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36252"/>
    <w:rPr>
      <w:rFonts w:ascii="Tahoma" w:eastAsia="Calibri" w:hAnsi="Tahoma" w:cs="Tahoma"/>
      <w:sz w:val="16"/>
      <w:szCs w:val="16"/>
      <w:lang w:eastAsia="lv-LV"/>
    </w:rPr>
  </w:style>
  <w:style w:type="character" w:styleId="Komentraatsauce">
    <w:name w:val="annotation reference"/>
    <w:basedOn w:val="Noklusjumarindkopasfonts"/>
    <w:uiPriority w:val="99"/>
    <w:semiHidden/>
    <w:unhideWhenUsed/>
    <w:rsid w:val="00D416E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3625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F36252"/>
    <w:pPr>
      <w:ind w:left="720"/>
      <w:contextualSpacing/>
    </w:p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F36252"/>
    <w:rPr>
      <w:rFonts w:ascii="Times New Roman" w:eastAsia="Calibri" w:hAnsi="Times New Roman" w:cs="Times New Roman"/>
      <w:sz w:val="24"/>
      <w:szCs w:val="24"/>
      <w:lang w:eastAsia="lv-LV"/>
    </w:rPr>
  </w:style>
  <w:style w:type="paragraph" w:styleId="Galvene">
    <w:name w:val="header"/>
    <w:aliases w:val="Rakstz. Rakstz.,Char,Rakstz.2,Rakstz. Char Char,Rakstz. Char,Char2"/>
    <w:basedOn w:val="Parasts"/>
    <w:link w:val="GalveneRakstz"/>
    <w:rsid w:val="00F36252"/>
    <w:pPr>
      <w:tabs>
        <w:tab w:val="center" w:pos="4153"/>
        <w:tab w:val="right" w:pos="8306"/>
      </w:tabs>
    </w:pPr>
  </w:style>
  <w:style w:type="character" w:customStyle="1" w:styleId="GalveneRakstz">
    <w:name w:val="Galvene Rakstz."/>
    <w:aliases w:val="Rakstz. Rakstz. Rakstz.,Char Rakstz.,Rakstz.2 Rakstz.,Rakstz. Char Char Rakstz.,Rakstz. Char Rakstz.,Char2 Rakstz."/>
    <w:basedOn w:val="Noklusjumarindkopasfonts"/>
    <w:link w:val="Galvene"/>
    <w:rsid w:val="00F36252"/>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F3625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36252"/>
    <w:rPr>
      <w:rFonts w:ascii="Tahoma" w:eastAsia="Calibri" w:hAnsi="Tahoma" w:cs="Tahoma"/>
      <w:sz w:val="16"/>
      <w:szCs w:val="16"/>
      <w:lang w:eastAsia="lv-LV"/>
    </w:rPr>
  </w:style>
  <w:style w:type="character" w:styleId="Komentraatsauce">
    <w:name w:val="annotation reference"/>
    <w:basedOn w:val="Noklusjumarindkopasfonts"/>
    <w:uiPriority w:val="99"/>
    <w:semiHidden/>
    <w:unhideWhenUsed/>
    <w:rsid w:val="00D416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3454</Words>
  <Characters>1970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2021-06-01T10:58:00Z</dcterms:created>
  <dcterms:modified xsi:type="dcterms:W3CDTF">2021-06-01T13:17:00Z</dcterms:modified>
</cp:coreProperties>
</file>